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2022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КОРПОРАТИВНОЕ СТРАТЕГИЧЕСКОЕ УПРАВЛЕНИЕ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7M04105 Индустриальный менеджмент</w:t>
      </w:r>
    </w:p>
    <w:p>
      <w:r>
        <w:t>Код дисциплины: KSU6306</w:t>
      </w:r>
    </w:p>
    <w:p>
      <w:r>
        <w:t>Количество кредитов: 6</w:t>
      </w:r>
    </w:p>
    <w:p>
      <w:r>
        <w:t>Цикл: ПД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2022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Рахимбердинова М.У.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7M04105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Рахимбердинова М.У.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Казыкешова А.Т.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Дисциплина изучает современные подходы разработки системы
стратегического корпоративного управления компанией, основанные на системном
анализе принципов и моделей структурной организации. Овладение знаниями в области современных механизмов
практической реализации утвержденных компанией стратегических ориентиров и целей
управления, с учетом особенностей выбранной стратегии развития корпорации и
ключевых параметров ее контура корпоративного управления, характерных для
соответствующего этапа ее эволюционного развития.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Формирование компетенция и практических навыков в области разработки и реализации
стратегий развития организаций, стратегического анализа, управления корпорациями и
корпоративной собственностью, проектного управления, необходимых для работы в
подразделениях стратегических разработок в организациях и корпорациях (в холдингах,
концернах, ассоциациях), органах государственного и муниципального управления и научноисследовательских организациях</w:t>
      </w:r>
    </w:p>
    <w:p/>
    <w:p>
      <w:pPr>
        <w:ind w:firstLine="567"/>
      </w:pPr>
      <w:r>
        <w:t>Задачи изучения дисциплины: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КК2 - Способность анализировать данные налоговой и финансовой отчетности и использовать полученные сведения для принятия управленческих решений.</w:t>
            </w:r>
          </w:p>
        </w:tc>
        <w:tc>
          <w:p>
            <w:r>
              <w:rPr>
                <w:sz w:val="20"/>
              </w:rPr>
              <w:t>РО4 - Собрать необходимые данные, проанализировать их и подготовить информационный обзор и аналитический отчет для формирования профессионального суждения.</w:t>
            </w:r>
          </w:p>
        </w:tc>
        <w:tc>
          <w:tcPr>
            <w:vMerge w:val="restart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90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Основная литература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